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6E7" w:rsidRPr="009904F2" w:rsidRDefault="00AB56E7" w:rsidP="009904F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6C75EA" w:rsidRPr="009904F2" w:rsidRDefault="009904F2" w:rsidP="009904F2">
      <w:pPr>
        <w:spacing w:line="360" w:lineRule="auto"/>
        <w:ind w:right="-5"/>
        <w:jc w:val="center"/>
        <w:rPr>
          <w:b/>
          <w:color w:val="000000"/>
          <w:sz w:val="28"/>
          <w:szCs w:val="28"/>
        </w:rPr>
      </w:pPr>
      <w:r w:rsidRPr="009904F2">
        <w:rPr>
          <w:b/>
          <w:sz w:val="28"/>
          <w:szCs w:val="28"/>
        </w:rPr>
        <w:t>Доклад</w:t>
      </w:r>
      <w:r w:rsidRPr="009904F2">
        <w:rPr>
          <w:sz w:val="28"/>
          <w:szCs w:val="28"/>
        </w:rPr>
        <w:t xml:space="preserve"> </w:t>
      </w:r>
      <w:r w:rsidRPr="009904F2">
        <w:rPr>
          <w:b/>
          <w:sz w:val="28"/>
          <w:szCs w:val="28"/>
        </w:rPr>
        <w:t>на публичном обсуждении 21.08.2018  на тему</w:t>
      </w:r>
      <w:r w:rsidRPr="00531869">
        <w:rPr>
          <w:color w:val="000000"/>
          <w:sz w:val="28"/>
          <w:szCs w:val="28"/>
        </w:rPr>
        <w:t xml:space="preserve"> </w:t>
      </w:r>
      <w:r w:rsidR="00AB56E7" w:rsidRPr="009904F2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Камеральный</w:t>
      </w:r>
      <w:r w:rsidRPr="009904F2">
        <w:rPr>
          <w:b/>
          <w:color w:val="000000"/>
          <w:sz w:val="28"/>
          <w:szCs w:val="28"/>
        </w:rPr>
        <w:t xml:space="preserve"> </w:t>
      </w:r>
      <w:r w:rsidR="006C75EA" w:rsidRPr="009904F2">
        <w:rPr>
          <w:b/>
          <w:color w:val="000000"/>
          <w:sz w:val="28"/>
          <w:szCs w:val="28"/>
        </w:rPr>
        <w:t>контроль налогоплательщиков, осуществляющих внешнеэкономическую деятельность.</w:t>
      </w:r>
    </w:p>
    <w:p w:rsidR="00AB56E7" w:rsidRPr="009904F2" w:rsidRDefault="006C75EA" w:rsidP="009904F2">
      <w:pPr>
        <w:spacing w:line="360" w:lineRule="auto"/>
        <w:ind w:right="-5"/>
        <w:jc w:val="center"/>
        <w:rPr>
          <w:b/>
          <w:color w:val="000000"/>
          <w:sz w:val="28"/>
          <w:szCs w:val="28"/>
        </w:rPr>
      </w:pPr>
      <w:r w:rsidRPr="009904F2">
        <w:rPr>
          <w:b/>
          <w:color w:val="000000"/>
          <w:sz w:val="28"/>
          <w:szCs w:val="28"/>
        </w:rPr>
        <w:t>Взаимодействие с таможенными органами</w:t>
      </w:r>
      <w:r w:rsidR="00AB56E7" w:rsidRPr="009904F2">
        <w:rPr>
          <w:b/>
          <w:color w:val="000000"/>
          <w:sz w:val="28"/>
          <w:szCs w:val="28"/>
        </w:rPr>
        <w:t>»</w:t>
      </w:r>
    </w:p>
    <w:p w:rsidR="00AB56E7" w:rsidRDefault="00AB56E7" w:rsidP="006725F6">
      <w:pPr>
        <w:spacing w:line="360" w:lineRule="auto"/>
        <w:ind w:right="-5"/>
        <w:jc w:val="center"/>
        <w:rPr>
          <w:color w:val="000000"/>
          <w:sz w:val="28"/>
          <w:szCs w:val="28"/>
        </w:rPr>
      </w:pPr>
    </w:p>
    <w:p w:rsidR="006C75EA" w:rsidRDefault="006C75EA" w:rsidP="009904F2">
      <w:pPr>
        <w:ind w:right="-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Последнее время экспорт российских товаров и услуг является одним из актуальных направлений. Стратегией развития страны в качестве результатов обозначены рост </w:t>
      </w:r>
      <w:proofErr w:type="spellStart"/>
      <w:r>
        <w:rPr>
          <w:color w:val="000000"/>
          <w:sz w:val="28"/>
          <w:szCs w:val="28"/>
        </w:rPr>
        <w:t>несырьевого</w:t>
      </w:r>
      <w:proofErr w:type="spellEnd"/>
      <w:r>
        <w:rPr>
          <w:color w:val="000000"/>
          <w:sz w:val="28"/>
          <w:szCs w:val="28"/>
        </w:rPr>
        <w:t xml:space="preserve"> экспорта и количества российских компаний-экспортеров. Для этого разрабатываются многочисленные программы финансовой и правовой поддержки компаний.</w:t>
      </w:r>
    </w:p>
    <w:p w:rsidR="006C75EA" w:rsidRPr="002B1500" w:rsidRDefault="006C75EA" w:rsidP="009904F2">
      <w:pPr>
        <w:ind w:right="-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Омская область не исключение. У нас еще в 2012 году на базе Министерства экономики Омской области создан Центр поддержки экспорта Омской области, который бесплатно оказывает</w:t>
      </w:r>
      <w:r w:rsidR="001340F1">
        <w:rPr>
          <w:color w:val="000000"/>
          <w:sz w:val="28"/>
          <w:szCs w:val="28"/>
        </w:rPr>
        <w:t xml:space="preserve"> поддержку субъектам малого и среднего предпринимательства Омской области при выходе на международные рынки.</w:t>
      </w:r>
    </w:p>
    <w:p w:rsidR="00742522" w:rsidRPr="001340F1" w:rsidRDefault="001340F1" w:rsidP="009904F2">
      <w:pPr>
        <w:ind w:right="-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увеличено количество организаций, осуществляющих экспортные операции, вырос и размер налоговой базы по экспортным операциям, которые налогоплательщики заявили в налоговых декларациях по НДС. Я сейчас говорю о величине налоговой базы по операциям, обоснованность налоговой ставки 0% по которым  документально подтверждена - она вырос</w:t>
      </w:r>
      <w:r w:rsidR="00CE468C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а на 42% по сравнению с аналогичным периодом прошлого года </w:t>
      </w:r>
      <w:r w:rsidRPr="001340F1">
        <w:rPr>
          <w:i/>
          <w:color w:val="000000"/>
          <w:sz w:val="28"/>
          <w:szCs w:val="28"/>
        </w:rPr>
        <w:t>(по данным 1 – НДС на 01.02.2017 – 6 674 080 тыс. руб., на 01.02.2018 – 9 498 687 тыс. руб.)</w:t>
      </w:r>
      <w:r>
        <w:rPr>
          <w:color w:val="000000"/>
          <w:sz w:val="28"/>
          <w:szCs w:val="28"/>
        </w:rPr>
        <w:t>.</w:t>
      </w:r>
    </w:p>
    <w:p w:rsidR="009821F0" w:rsidRDefault="009821F0" w:rsidP="00990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21F0">
        <w:rPr>
          <w:sz w:val="28"/>
          <w:szCs w:val="28"/>
        </w:rPr>
        <w:t>Многое делается в части упрощения налогового контроля.</w:t>
      </w:r>
    </w:p>
    <w:p w:rsidR="009821F0" w:rsidRDefault="009821F0" w:rsidP="00990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налоговое законодательство РФ предусматривает для экспортеров льготу – нулевую ставку НДС, налогоплательщик может рассчитывать на возмещение НДС из бюджета.</w:t>
      </w:r>
    </w:p>
    <w:p w:rsidR="00EA2831" w:rsidRDefault="00EA2831" w:rsidP="00990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17E25">
        <w:rPr>
          <w:sz w:val="28"/>
          <w:szCs w:val="28"/>
        </w:rPr>
        <w:t>О</w:t>
      </w:r>
      <w:r>
        <w:rPr>
          <w:sz w:val="28"/>
          <w:szCs w:val="28"/>
        </w:rPr>
        <w:t xml:space="preserve">мской области осуществление экспортных операций  является основной причиной заявленного возмещения НДС из федерального бюджета. </w:t>
      </w:r>
      <w:proofErr w:type="gramStart"/>
      <w:r>
        <w:rPr>
          <w:sz w:val="28"/>
          <w:szCs w:val="28"/>
        </w:rPr>
        <w:t>Начиная с 2014 года экспортные операции составляют более 50</w:t>
      </w:r>
      <w:proofErr w:type="gramEnd"/>
      <w:r>
        <w:rPr>
          <w:sz w:val="28"/>
          <w:szCs w:val="28"/>
        </w:rPr>
        <w:t xml:space="preserve"> % заявленного возмещения. В последние годы при сохранении суммы заявленного возмещения по региону на уровне прошлых лет, структура возмещения НДС все больше перераспределена  в пользу экспортных операций. Сумма заявленного возмещения Н</w:t>
      </w:r>
      <w:proofErr w:type="gramStart"/>
      <w:r>
        <w:rPr>
          <w:sz w:val="28"/>
          <w:szCs w:val="28"/>
        </w:rPr>
        <w:t>ДС в св</w:t>
      </w:r>
      <w:proofErr w:type="gramEnd"/>
      <w:r>
        <w:rPr>
          <w:sz w:val="28"/>
          <w:szCs w:val="28"/>
        </w:rPr>
        <w:t>язи с осуществлением экспортных операций составляет уже более 70%.</w:t>
      </w:r>
    </w:p>
    <w:p w:rsidR="00EA2831" w:rsidRDefault="00EA2831" w:rsidP="00990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Заявленное возмещение НДС является предметом углубленной камеральной налоговой проверки – мы должны проверить факт реального пересечения товарами  российской границы, а также правомерность заявленных налогоплательщиком налоговых вычетов.</w:t>
      </w:r>
    </w:p>
    <w:p w:rsidR="00EA2831" w:rsidRDefault="00EA2831" w:rsidP="009904F2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При этом в настоящее время мы обладаем мощнейшим инструментом для проверки – это разработанная Федеральной налоговой службой  </w:t>
      </w:r>
      <w:r>
        <w:rPr>
          <w:sz w:val="28"/>
          <w:szCs w:val="28"/>
        </w:rPr>
        <w:lastRenderedPageBreak/>
        <w:t xml:space="preserve">программа «АСК НДС-2» </w:t>
      </w:r>
      <w:r w:rsidRPr="00EA2831">
        <w:rPr>
          <w:i/>
          <w:sz w:val="28"/>
          <w:szCs w:val="28"/>
        </w:rPr>
        <w:t xml:space="preserve">(автоматизированная система </w:t>
      </w:r>
      <w:proofErr w:type="gramStart"/>
      <w:r w:rsidRPr="00EA2831">
        <w:rPr>
          <w:i/>
          <w:sz w:val="28"/>
          <w:szCs w:val="28"/>
        </w:rPr>
        <w:t>контроля</w:t>
      </w:r>
      <w:r>
        <w:rPr>
          <w:i/>
          <w:sz w:val="28"/>
          <w:szCs w:val="28"/>
        </w:rPr>
        <w:t xml:space="preserve"> за</w:t>
      </w:r>
      <w:proofErr w:type="gramEnd"/>
      <w:r>
        <w:rPr>
          <w:i/>
          <w:sz w:val="28"/>
          <w:szCs w:val="28"/>
        </w:rPr>
        <w:t xml:space="preserve"> налогом на добавленную стои</w:t>
      </w:r>
      <w:r w:rsidRPr="00EA2831">
        <w:rPr>
          <w:i/>
          <w:sz w:val="28"/>
          <w:szCs w:val="28"/>
        </w:rPr>
        <w:t>м</w:t>
      </w:r>
      <w:r>
        <w:rPr>
          <w:i/>
          <w:sz w:val="28"/>
          <w:szCs w:val="28"/>
        </w:rPr>
        <w:t>о</w:t>
      </w:r>
      <w:r w:rsidRPr="00EA2831">
        <w:rPr>
          <w:i/>
          <w:sz w:val="28"/>
          <w:szCs w:val="28"/>
        </w:rPr>
        <w:t>сть).</w:t>
      </w:r>
    </w:p>
    <w:p w:rsidR="00A829F8" w:rsidRPr="00A829F8" w:rsidRDefault="00A829F8" w:rsidP="00990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29F8">
        <w:rPr>
          <w:sz w:val="28"/>
          <w:szCs w:val="28"/>
        </w:rPr>
        <w:t>Система автоматически присваивает всем налоговым декларациям</w:t>
      </w:r>
      <w:r>
        <w:rPr>
          <w:sz w:val="28"/>
          <w:szCs w:val="28"/>
        </w:rPr>
        <w:t xml:space="preserve"> уровень риска: «высокий», «средний», «низкий» (</w:t>
      </w:r>
      <w:r w:rsidRPr="00A829F8">
        <w:rPr>
          <w:b/>
          <w:sz w:val="28"/>
          <w:szCs w:val="28"/>
        </w:rPr>
        <w:t>СЛАЙД № 1</w:t>
      </w:r>
      <w:r>
        <w:rPr>
          <w:sz w:val="28"/>
          <w:szCs w:val="28"/>
        </w:rPr>
        <w:t>):</w:t>
      </w:r>
    </w:p>
    <w:p w:rsidR="00742522" w:rsidRPr="00A829F8" w:rsidRDefault="00742522" w:rsidP="00990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29F8">
        <w:rPr>
          <w:sz w:val="28"/>
          <w:szCs w:val="28"/>
        </w:rPr>
        <w:t>- «низкий» риск присвоен декларациям налогоплательщиков, которые ведут реальную финансово-хозяйственную деятельность и в полном объеме исполняют налоговые обязательства,</w:t>
      </w:r>
    </w:p>
    <w:p w:rsidR="00066A68" w:rsidRDefault="00742522" w:rsidP="009904F2">
      <w:pPr>
        <w:ind w:right="-5" w:firstLine="709"/>
        <w:jc w:val="both"/>
        <w:rPr>
          <w:sz w:val="28"/>
          <w:szCs w:val="28"/>
        </w:rPr>
      </w:pPr>
      <w:r w:rsidRPr="00A829F8">
        <w:rPr>
          <w:sz w:val="28"/>
          <w:szCs w:val="28"/>
        </w:rPr>
        <w:t xml:space="preserve">- «высокий» риск </w:t>
      </w:r>
      <w:r w:rsidR="00A829F8" w:rsidRPr="005F30E1">
        <w:rPr>
          <w:sz w:val="28"/>
          <w:szCs w:val="28"/>
        </w:rPr>
        <w:t xml:space="preserve">присвоен </w:t>
      </w:r>
      <w:r w:rsidRPr="005F30E1">
        <w:rPr>
          <w:sz w:val="28"/>
          <w:szCs w:val="28"/>
        </w:rPr>
        <w:t xml:space="preserve">декларациям организаций, </w:t>
      </w:r>
      <w:proofErr w:type="gramStart"/>
      <w:r w:rsidRPr="005F30E1">
        <w:rPr>
          <w:sz w:val="28"/>
          <w:szCs w:val="28"/>
        </w:rPr>
        <w:t>которые</w:t>
      </w:r>
      <w:proofErr w:type="gramEnd"/>
      <w:r w:rsidRPr="005F30E1">
        <w:rPr>
          <w:sz w:val="28"/>
          <w:szCs w:val="28"/>
        </w:rPr>
        <w:t xml:space="preserve"> </w:t>
      </w:r>
      <w:r w:rsidR="00A829F8" w:rsidRPr="005F30E1">
        <w:rPr>
          <w:sz w:val="28"/>
          <w:szCs w:val="28"/>
        </w:rPr>
        <w:t xml:space="preserve">как правило используются </w:t>
      </w:r>
      <w:r w:rsidRPr="005F30E1">
        <w:rPr>
          <w:sz w:val="28"/>
          <w:szCs w:val="28"/>
        </w:rPr>
        <w:t xml:space="preserve">для </w:t>
      </w:r>
      <w:r w:rsidR="00A829F8" w:rsidRPr="005F30E1">
        <w:rPr>
          <w:sz w:val="28"/>
          <w:szCs w:val="28"/>
        </w:rPr>
        <w:t>схем уклонения от уплаты</w:t>
      </w:r>
      <w:r w:rsidRPr="005F30E1">
        <w:rPr>
          <w:sz w:val="28"/>
          <w:szCs w:val="28"/>
        </w:rPr>
        <w:t xml:space="preserve"> НДС.</w:t>
      </w:r>
      <w:r w:rsidR="00F57D8B" w:rsidRPr="005F30E1">
        <w:rPr>
          <w:sz w:val="28"/>
          <w:szCs w:val="28"/>
        </w:rPr>
        <w:t xml:space="preserve"> </w:t>
      </w:r>
      <w:r w:rsidRPr="005F30E1">
        <w:rPr>
          <w:sz w:val="28"/>
          <w:szCs w:val="28"/>
        </w:rPr>
        <w:t xml:space="preserve">Налогоплательщики данной категории не обладают достаточными ресурсами (активами) для ведения соответствующей деятельности, не исполняют свои налоговые обязательства (либо </w:t>
      </w:r>
      <w:r w:rsidR="00A829F8" w:rsidRPr="005F30E1">
        <w:rPr>
          <w:sz w:val="28"/>
          <w:szCs w:val="28"/>
        </w:rPr>
        <w:t>уплачивают</w:t>
      </w:r>
      <w:r w:rsidR="00A829F8">
        <w:rPr>
          <w:sz w:val="28"/>
          <w:szCs w:val="28"/>
        </w:rPr>
        <w:t xml:space="preserve"> незначительные </w:t>
      </w:r>
      <w:r w:rsidR="005F30E1">
        <w:rPr>
          <w:sz w:val="28"/>
          <w:szCs w:val="28"/>
        </w:rPr>
        <w:t xml:space="preserve"> суммы налога в бюджет для вида</w:t>
      </w:r>
      <w:r w:rsidRPr="000D6588">
        <w:rPr>
          <w:sz w:val="28"/>
          <w:szCs w:val="28"/>
        </w:rPr>
        <w:t>)</w:t>
      </w:r>
      <w:r w:rsidR="00066A68">
        <w:rPr>
          <w:sz w:val="28"/>
          <w:szCs w:val="28"/>
        </w:rPr>
        <w:t>,</w:t>
      </w:r>
    </w:p>
    <w:p w:rsidR="00066A68" w:rsidRPr="00531869" w:rsidRDefault="00066A68" w:rsidP="009904F2">
      <w:pPr>
        <w:ind w:right="-5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к</w:t>
      </w:r>
      <w:r w:rsidRPr="005318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531869">
        <w:rPr>
          <w:color w:val="000000"/>
          <w:sz w:val="28"/>
          <w:szCs w:val="28"/>
        </w:rPr>
        <w:t>среднему</w:t>
      </w:r>
      <w:r>
        <w:rPr>
          <w:color w:val="000000"/>
          <w:sz w:val="28"/>
          <w:szCs w:val="28"/>
        </w:rPr>
        <w:t>»</w:t>
      </w:r>
      <w:r w:rsidRPr="00531869">
        <w:rPr>
          <w:color w:val="000000"/>
          <w:sz w:val="28"/>
          <w:szCs w:val="28"/>
        </w:rPr>
        <w:t xml:space="preserve"> налоговому риску относятся налогоплательщики, которые не включены в группы с высоким или низким налоговым риском.</w:t>
      </w:r>
      <w:bookmarkStart w:id="0" w:name="bssPhr12"/>
      <w:bookmarkStart w:id="1" w:name="ZAP24V43J7"/>
      <w:bookmarkStart w:id="2" w:name="ZAP1VGI3HM"/>
      <w:bookmarkEnd w:id="0"/>
      <w:bookmarkEnd w:id="1"/>
      <w:bookmarkEnd w:id="2"/>
    </w:p>
    <w:p w:rsidR="00742522" w:rsidRDefault="00742522" w:rsidP="00742522">
      <w:pPr>
        <w:spacing w:line="360" w:lineRule="auto"/>
        <w:ind w:firstLine="707"/>
        <w:jc w:val="both"/>
        <w:rPr>
          <w:sz w:val="28"/>
          <w:szCs w:val="28"/>
        </w:rPr>
      </w:pPr>
      <w:r w:rsidRPr="008002E3">
        <w:rPr>
          <w:noProof/>
          <w:sz w:val="28"/>
          <w:szCs w:val="28"/>
        </w:rPr>
        <w:drawing>
          <wp:inline distT="0" distB="0" distL="0" distR="0" wp14:anchorId="139E8432" wp14:editId="43421C6C">
            <wp:extent cx="4572638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9CE" w:rsidRPr="009E09CE" w:rsidRDefault="009E09CE" w:rsidP="009904F2">
      <w:pPr>
        <w:ind w:firstLine="707"/>
        <w:jc w:val="both"/>
        <w:rPr>
          <w:i/>
          <w:color w:val="000000"/>
          <w:sz w:val="28"/>
          <w:szCs w:val="28"/>
        </w:rPr>
      </w:pPr>
      <w:proofErr w:type="gramStart"/>
      <w:r w:rsidRPr="00531869">
        <w:rPr>
          <w:color w:val="000000"/>
          <w:sz w:val="28"/>
          <w:szCs w:val="28"/>
        </w:rPr>
        <w:t xml:space="preserve">Информация о присвоенных </w:t>
      </w:r>
      <w:r>
        <w:rPr>
          <w:color w:val="000000"/>
          <w:sz w:val="28"/>
          <w:szCs w:val="28"/>
        </w:rPr>
        <w:t xml:space="preserve">уровнях </w:t>
      </w:r>
      <w:r w:rsidRPr="00531869">
        <w:rPr>
          <w:color w:val="000000"/>
          <w:sz w:val="28"/>
          <w:szCs w:val="28"/>
        </w:rPr>
        <w:t xml:space="preserve"> налогового риска отображается в виде цветовых индикаторов в программном комплексе «АСК НДС-2»</w:t>
      </w:r>
      <w:r>
        <w:rPr>
          <w:color w:val="000000"/>
          <w:sz w:val="28"/>
          <w:szCs w:val="28"/>
        </w:rPr>
        <w:t xml:space="preserve"> (</w:t>
      </w:r>
      <w:r w:rsidRPr="009E09CE">
        <w:rPr>
          <w:i/>
          <w:color w:val="000000"/>
          <w:sz w:val="28"/>
          <w:szCs w:val="28"/>
        </w:rPr>
        <w:t>Вот в таком виде мы видим все представленные декларации.</w:t>
      </w:r>
      <w:proofErr w:type="gramEnd"/>
      <w:r w:rsidRPr="009E09CE">
        <w:rPr>
          <w:i/>
          <w:color w:val="000000"/>
          <w:sz w:val="28"/>
          <w:szCs w:val="28"/>
        </w:rPr>
        <w:t xml:space="preserve"> На слайде указан реестр </w:t>
      </w:r>
      <w:r>
        <w:rPr>
          <w:i/>
          <w:color w:val="000000"/>
          <w:sz w:val="28"/>
          <w:szCs w:val="28"/>
        </w:rPr>
        <w:t>деклараций за один из налоговых периодов, где видны присвоенные уровни риска.</w:t>
      </w:r>
      <w:r w:rsidRPr="009E09CE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ИНН, КПП, наименование налогоплательщиков на слайде </w:t>
      </w:r>
      <w:proofErr w:type="gramStart"/>
      <w:r>
        <w:rPr>
          <w:i/>
          <w:color w:val="000000"/>
          <w:sz w:val="28"/>
          <w:szCs w:val="28"/>
        </w:rPr>
        <w:t>закрашены</w:t>
      </w:r>
      <w:proofErr w:type="gramEnd"/>
      <w:r>
        <w:rPr>
          <w:i/>
          <w:color w:val="000000"/>
          <w:sz w:val="28"/>
          <w:szCs w:val="28"/>
        </w:rPr>
        <w:t xml:space="preserve">, поскольку это налоговая тайна. </w:t>
      </w:r>
      <w:proofErr w:type="gramStart"/>
      <w:r>
        <w:rPr>
          <w:i/>
          <w:color w:val="000000"/>
          <w:sz w:val="28"/>
          <w:szCs w:val="28"/>
        </w:rPr>
        <w:t xml:space="preserve">Декларациям одних налогоплательщиков присвоен «низкий» риск – это зеленый индикатор, красный индикатор  </w:t>
      </w:r>
      <w:r w:rsidRPr="009E09CE">
        <w:rPr>
          <w:i/>
          <w:color w:val="000000"/>
          <w:sz w:val="28"/>
          <w:szCs w:val="28"/>
        </w:rPr>
        <w:t>«высокий» риск, желтый  - «средний» риск</w:t>
      </w:r>
      <w:r>
        <w:rPr>
          <w:color w:val="000000"/>
          <w:sz w:val="28"/>
          <w:szCs w:val="28"/>
        </w:rPr>
        <w:t>).</w:t>
      </w:r>
      <w:proofErr w:type="gramEnd"/>
    </w:p>
    <w:p w:rsidR="009E09CE" w:rsidRDefault="009E09CE" w:rsidP="009904F2">
      <w:pPr>
        <w:ind w:right="-5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Критериев, по которым присваивается риск налоговой декларации больше 90 (</w:t>
      </w:r>
      <w:r w:rsidRPr="006371A1">
        <w:rPr>
          <w:i/>
          <w:color w:val="000000"/>
          <w:sz w:val="28"/>
          <w:szCs w:val="28"/>
        </w:rPr>
        <w:t xml:space="preserve">анализируется материально-техническая база, наличие работников, налоговая история, (сколько налогоплательщик уплатил в бюджет, имеется ли задолженность), регистрационные данные (как давно </w:t>
      </w:r>
      <w:r w:rsidRPr="006371A1">
        <w:rPr>
          <w:i/>
          <w:color w:val="000000"/>
          <w:sz w:val="28"/>
          <w:szCs w:val="28"/>
        </w:rPr>
        <w:lastRenderedPageBreak/>
        <w:t>зарегистрирован налогоплательщик</w:t>
      </w:r>
      <w:r w:rsidR="006371A1" w:rsidRPr="006371A1">
        <w:rPr>
          <w:i/>
          <w:color w:val="000000"/>
          <w:sz w:val="28"/>
          <w:szCs w:val="28"/>
        </w:rPr>
        <w:t>, мигрирует ли между налоговыми органами) и другие данные.</w:t>
      </w:r>
      <w:proofErr w:type="gramEnd"/>
      <w:r w:rsidR="006371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6371A1">
        <w:rPr>
          <w:color w:val="000000"/>
          <w:sz w:val="28"/>
          <w:szCs w:val="28"/>
        </w:rPr>
        <w:t>Алгоритм расчета критерия риска закрытый и постоянно  совершенствуется на основании внешней и внутренней информации.</w:t>
      </w:r>
    </w:p>
    <w:p w:rsidR="006371A1" w:rsidRDefault="009E09CE" w:rsidP="009904F2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нам теперь видны все риски в деятельности налогоплательщика – нет смысла </w:t>
      </w:r>
      <w:r w:rsidR="006371A1">
        <w:rPr>
          <w:sz w:val="28"/>
          <w:szCs w:val="28"/>
        </w:rPr>
        <w:t>проводить камеральную проверку в течени</w:t>
      </w:r>
      <w:proofErr w:type="gramStart"/>
      <w:r w:rsidR="006371A1">
        <w:rPr>
          <w:sz w:val="28"/>
          <w:szCs w:val="28"/>
        </w:rPr>
        <w:t>и</w:t>
      </w:r>
      <w:proofErr w:type="gramEnd"/>
      <w:r w:rsidR="006371A1">
        <w:rPr>
          <w:sz w:val="28"/>
          <w:szCs w:val="28"/>
        </w:rPr>
        <w:t xml:space="preserve"> трех месяцев, предусмотренных Кодексом.</w:t>
      </w:r>
      <w:r>
        <w:rPr>
          <w:sz w:val="28"/>
          <w:szCs w:val="28"/>
        </w:rPr>
        <w:t xml:space="preserve"> </w:t>
      </w:r>
    </w:p>
    <w:p w:rsidR="006371A1" w:rsidRDefault="006371A1" w:rsidP="009904F2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служба </w:t>
      </w:r>
      <w:proofErr w:type="gramStart"/>
      <w:r>
        <w:rPr>
          <w:sz w:val="28"/>
          <w:szCs w:val="28"/>
        </w:rPr>
        <w:t>представила нам возможность</w:t>
      </w:r>
      <w:proofErr w:type="gramEnd"/>
      <w:r>
        <w:rPr>
          <w:sz w:val="28"/>
          <w:szCs w:val="28"/>
        </w:rPr>
        <w:t xml:space="preserve">  - добросовестным налогоплательщикам</w:t>
      </w:r>
      <w:r w:rsidR="00AF31B7">
        <w:rPr>
          <w:sz w:val="28"/>
          <w:szCs w:val="28"/>
        </w:rPr>
        <w:t xml:space="preserve"> налог возвращать раньше (</w:t>
      </w:r>
      <w:r w:rsidR="00AF31B7" w:rsidRPr="00A829F8">
        <w:rPr>
          <w:b/>
          <w:sz w:val="28"/>
          <w:szCs w:val="28"/>
        </w:rPr>
        <w:t xml:space="preserve">СЛАЙД № </w:t>
      </w:r>
      <w:r w:rsidR="00AF31B7">
        <w:rPr>
          <w:b/>
          <w:sz w:val="28"/>
          <w:szCs w:val="28"/>
        </w:rPr>
        <w:t>2</w:t>
      </w:r>
      <w:r w:rsidR="00AF31B7">
        <w:rPr>
          <w:sz w:val="28"/>
          <w:szCs w:val="28"/>
        </w:rPr>
        <w:t>):</w:t>
      </w:r>
    </w:p>
    <w:p w:rsidR="003577F6" w:rsidRDefault="003577F6" w:rsidP="009904F2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В ускоренном порядке возмещается налог, если:</w:t>
      </w:r>
    </w:p>
    <w:p w:rsidR="003577F6" w:rsidRDefault="003577F6" w:rsidP="009904F2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- налоговой декларации  налогоплательщика присвоен «низкий» или «средний» риск,</w:t>
      </w:r>
    </w:p>
    <w:p w:rsidR="003577F6" w:rsidRDefault="003577F6" w:rsidP="009904F2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- 90% налоговых вычетов предъявлены налогоплательщику контрагентами также с «низким» или «средним» риском,</w:t>
      </w:r>
    </w:p>
    <w:p w:rsidR="003577F6" w:rsidRDefault="003577F6" w:rsidP="009904F2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- в декларации отсутствуют расхождения между сведениями об операциях</w:t>
      </w:r>
      <w:r w:rsidR="00B73A41">
        <w:rPr>
          <w:sz w:val="28"/>
          <w:szCs w:val="28"/>
        </w:rPr>
        <w:t>, содержащимися  в налоговой декларации по НДС, представленной налогоплательщиком, и сведениями об указанных операциях, содержащимися в налоговой декларации по НДС, представленной контрагентом.</w:t>
      </w:r>
    </w:p>
    <w:p w:rsidR="00914611" w:rsidRDefault="003577F6" w:rsidP="00B73A41">
      <w:pPr>
        <w:spacing w:line="360" w:lineRule="auto"/>
        <w:ind w:firstLine="707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7C10A02D" wp14:editId="24DDD6C2">
            <wp:extent cx="4625163" cy="292395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7408" t="16879" r="19716" b="12381"/>
                    <a:stretch/>
                  </pic:blipFill>
                  <pic:spPr bwMode="auto">
                    <a:xfrm>
                      <a:off x="0" y="0"/>
                      <a:ext cx="4638944" cy="2932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3A41" w:rsidRDefault="00A80C33" w:rsidP="009904F2">
      <w:pPr>
        <w:ind w:firstLine="709"/>
        <w:jc w:val="both"/>
        <w:rPr>
          <w:sz w:val="28"/>
          <w:szCs w:val="28"/>
        </w:rPr>
      </w:pPr>
      <w:r w:rsidRPr="006D0FD8">
        <w:rPr>
          <w:sz w:val="28"/>
          <w:szCs w:val="28"/>
        </w:rPr>
        <w:t xml:space="preserve">Под критерии ускоренного возмещения </w:t>
      </w:r>
      <w:r>
        <w:rPr>
          <w:sz w:val="28"/>
        </w:rPr>
        <w:t xml:space="preserve">за прошедший </w:t>
      </w:r>
      <w:r w:rsidR="00B73A41">
        <w:rPr>
          <w:sz w:val="28"/>
        </w:rPr>
        <w:t>год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у нас попало </w:t>
      </w:r>
      <w:r w:rsidRPr="006D0FD8">
        <w:rPr>
          <w:sz w:val="28"/>
          <w:szCs w:val="28"/>
        </w:rPr>
        <w:t xml:space="preserve">76% от заявленной </w:t>
      </w:r>
      <w:r>
        <w:rPr>
          <w:sz w:val="28"/>
          <w:szCs w:val="28"/>
        </w:rPr>
        <w:t xml:space="preserve">налогоплательщиками </w:t>
      </w:r>
      <w:r w:rsidRPr="006D0FD8">
        <w:rPr>
          <w:sz w:val="28"/>
          <w:szCs w:val="28"/>
        </w:rPr>
        <w:t>суммы</w:t>
      </w:r>
      <w:r>
        <w:rPr>
          <w:sz w:val="28"/>
          <w:szCs w:val="28"/>
        </w:rPr>
        <w:t xml:space="preserve"> НДС к возмещению</w:t>
      </w:r>
      <w:r w:rsidR="00B73A41">
        <w:rPr>
          <w:sz w:val="28"/>
          <w:szCs w:val="28"/>
        </w:rPr>
        <w:t>, а  п</w:t>
      </w:r>
      <w:r>
        <w:rPr>
          <w:sz w:val="28"/>
          <w:szCs w:val="28"/>
        </w:rPr>
        <w:t xml:space="preserve">о </w:t>
      </w:r>
      <w:r w:rsidR="00B73A41">
        <w:rPr>
          <w:sz w:val="28"/>
          <w:szCs w:val="28"/>
        </w:rPr>
        <w:t xml:space="preserve">налогоплательщикам, осуществляющим ВЭД – 93% от заявленной суммы, что выше </w:t>
      </w:r>
      <w:r w:rsidR="00CE468C">
        <w:rPr>
          <w:sz w:val="28"/>
          <w:szCs w:val="28"/>
        </w:rPr>
        <w:t>среднего показателя по Региону</w:t>
      </w:r>
      <w:r w:rsidR="00B73A41">
        <w:rPr>
          <w:sz w:val="28"/>
          <w:szCs w:val="28"/>
        </w:rPr>
        <w:t xml:space="preserve">. </w:t>
      </w:r>
      <w:proofErr w:type="gramStart"/>
      <w:r w:rsidR="00B73A41">
        <w:rPr>
          <w:sz w:val="28"/>
          <w:szCs w:val="28"/>
        </w:rPr>
        <w:t>Указанное</w:t>
      </w:r>
      <w:proofErr w:type="gramEnd"/>
      <w:r w:rsidR="00B73A41">
        <w:rPr>
          <w:sz w:val="28"/>
          <w:szCs w:val="28"/>
        </w:rPr>
        <w:t xml:space="preserve"> свидетельствует о добросовестном  поведении налогоплательщиков ВЭД, а также о росте нашего к Вам  в связи с этим доверия.</w:t>
      </w:r>
    </w:p>
    <w:p w:rsidR="00B73A41" w:rsidRDefault="00B73A41" w:rsidP="009904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ос</w:t>
      </w:r>
      <w:r w:rsidR="00AF31B7">
        <w:rPr>
          <w:sz w:val="28"/>
          <w:szCs w:val="28"/>
        </w:rPr>
        <w:t>тальным 7 % все же есть вопросы</w:t>
      </w:r>
      <w:r>
        <w:rPr>
          <w:sz w:val="28"/>
          <w:szCs w:val="28"/>
        </w:rPr>
        <w:t xml:space="preserve">: либо не устранены расхождения в декларациях, либо контрагенты налогоплательщика имеют высокий признак, в 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необходимо проведение дополнительных мероприятий для подтверждения факта поставки, поэтому риск-</w:t>
      </w:r>
      <w:r>
        <w:rPr>
          <w:sz w:val="28"/>
          <w:szCs w:val="28"/>
        </w:rPr>
        <w:lastRenderedPageBreak/>
        <w:t>ориентированный подход не применяется и проверка  продолжается со всеми вытекающим последствиями.</w:t>
      </w:r>
    </w:p>
    <w:p w:rsidR="00B73A41" w:rsidRDefault="00B73A41" w:rsidP="009904F2">
      <w:pPr>
        <w:ind w:firstLine="709"/>
        <w:jc w:val="both"/>
        <w:rPr>
          <w:sz w:val="28"/>
          <w:szCs w:val="28"/>
        </w:rPr>
      </w:pPr>
    </w:p>
    <w:p w:rsidR="00A80C33" w:rsidRDefault="00B73A41" w:rsidP="009904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Далее. Для экспортеров предоставлена возможность при подтверждении ставки 0% по НДС представлять в налоговый орган  реестры таможенных деклараций, перевозочных, товаросопроводительных или иных документов в электронной форме вместо их бумажных копий.</w:t>
      </w:r>
    </w:p>
    <w:p w:rsidR="00B73A41" w:rsidRDefault="00B73A41" w:rsidP="009904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Налоговый орган на основании имеющихся  информационных ресурсов – сведений, предоставляемых таможенными органами в электронной форме, проводит камеральную проверку без истребования дополнительных документов</w:t>
      </w:r>
      <w:r w:rsidR="00AD0651">
        <w:rPr>
          <w:sz w:val="28"/>
          <w:szCs w:val="28"/>
        </w:rPr>
        <w:t xml:space="preserve"> у налогоплательщика только силами ведомств.</w:t>
      </w:r>
    </w:p>
    <w:p w:rsidR="00AD0651" w:rsidRDefault="00AD0651" w:rsidP="009904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Нововведения направлены на существенное сокращение документооборота между налогоплательщиком и налоговым органом, на снижение административной нагрузки на добросовестных налогоплательщиков.</w:t>
      </w:r>
    </w:p>
    <w:p w:rsidR="00AD0651" w:rsidRDefault="00AD0651" w:rsidP="009904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2017 года – 1 полугодия 2018 года следует констатировать, что представляют реестры только 30 налогоплательщиков. Хотя, как только база накопится сведениями, Федеральная налоговая служба отменит программу «ПИК НДС». Налогоплательщики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>кспортеры, которые сейчас заполняют «ПИК НДС» и представляют ее в налоговые органы, понимают о чем я говорю.</w:t>
      </w:r>
    </w:p>
    <w:p w:rsidR="00AD0651" w:rsidRPr="006D0FD8" w:rsidRDefault="00AD0651" w:rsidP="009904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еще, если вдруг у Вас возникли какие-то вопросы или проблемы с реестрами, обращайтесь, пожалуйста, в налоговый орган либо в Управление, будем оперативно решать вопросы, чтобы быстрее перейти на новый уровень проведения проверок (без лишних документов и лишних программ).</w:t>
      </w:r>
    </w:p>
    <w:p w:rsidR="00F57D8B" w:rsidRDefault="00F57D8B" w:rsidP="009904F2">
      <w:pPr>
        <w:ind w:right="-5" w:firstLine="709"/>
        <w:rPr>
          <w:color w:val="000000"/>
          <w:sz w:val="28"/>
          <w:szCs w:val="28"/>
        </w:rPr>
      </w:pPr>
    </w:p>
    <w:p w:rsidR="0017288F" w:rsidRPr="00531869" w:rsidRDefault="00AD0651" w:rsidP="009904F2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Дополнительно к сказанному  ФНС готовит еще ряд предложений для поддержки  экспортеров:</w:t>
      </w:r>
    </w:p>
    <w:p w:rsidR="0017288F" w:rsidRPr="00531869" w:rsidRDefault="0017288F" w:rsidP="009904F2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31869">
        <w:rPr>
          <w:color w:val="000000"/>
          <w:sz w:val="28"/>
          <w:szCs w:val="28"/>
        </w:rPr>
        <w:t xml:space="preserve">- </w:t>
      </w:r>
      <w:r w:rsidR="00AD0651">
        <w:rPr>
          <w:color w:val="000000"/>
          <w:sz w:val="28"/>
          <w:szCs w:val="28"/>
        </w:rPr>
        <w:t>планируется разрешить представлять таможенные декларации без отметки об убытии товара из РФ. Благодаря интеграции ресурсов ФНС и ФТС необходимость в таких отметках отпала</w:t>
      </w:r>
      <w:r w:rsidRPr="00531869">
        <w:rPr>
          <w:color w:val="000000"/>
          <w:sz w:val="28"/>
          <w:szCs w:val="28"/>
        </w:rPr>
        <w:t>,</w:t>
      </w:r>
    </w:p>
    <w:p w:rsidR="0017288F" w:rsidRDefault="0017288F" w:rsidP="009904F2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31869">
        <w:rPr>
          <w:color w:val="000000"/>
          <w:sz w:val="28"/>
          <w:szCs w:val="28"/>
        </w:rPr>
        <w:t xml:space="preserve">- </w:t>
      </w:r>
      <w:r w:rsidR="00AD0651">
        <w:rPr>
          <w:color w:val="000000"/>
          <w:sz w:val="28"/>
          <w:szCs w:val="28"/>
        </w:rPr>
        <w:t>для упрощения подтверждения ставки  0% для железнодорожных перевозчиков и экспедиторов, предлагается применять электронные накладные. В будущем такой порядок может распространиться и на перевозки другими видами транспорта,</w:t>
      </w:r>
    </w:p>
    <w:p w:rsidR="00AD0651" w:rsidRDefault="00AD0651" w:rsidP="009904F2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экспортеров товаров в страны ЕАЭС предлагается освободить от обязанности представлять одновременно с декларацией транспортные документы.</w:t>
      </w:r>
    </w:p>
    <w:p w:rsidR="00AD0651" w:rsidRDefault="00AD0651" w:rsidP="009904F2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эти вопросы находятся на стадии обсуждения.</w:t>
      </w:r>
    </w:p>
    <w:p w:rsidR="00AD0651" w:rsidRDefault="00AD0651" w:rsidP="009904F2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AD0651" w:rsidRPr="00531869" w:rsidRDefault="00AD0651" w:rsidP="009904F2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Далее. Взаимодействие с Омской таможней.</w:t>
      </w:r>
    </w:p>
    <w:p w:rsidR="00D952E0" w:rsidRDefault="00D952E0" w:rsidP="009904F2">
      <w:pPr>
        <w:ind w:right="-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2016 года в связи с объединением наших ведомств под ведение Министерства финансов РФ мы (</w:t>
      </w:r>
      <w:r w:rsidRPr="00D952E0">
        <w:rPr>
          <w:i/>
          <w:color w:val="000000"/>
          <w:sz w:val="28"/>
          <w:szCs w:val="28"/>
        </w:rPr>
        <w:t>налоговые органы Омской области</w:t>
      </w:r>
      <w:r>
        <w:rPr>
          <w:color w:val="000000"/>
          <w:sz w:val="28"/>
          <w:szCs w:val="28"/>
        </w:rPr>
        <w:t xml:space="preserve">) очень тесно сотрудничаем с нашими коллегами из Омской таможни. У нас одни </w:t>
      </w:r>
      <w:r>
        <w:rPr>
          <w:color w:val="000000"/>
          <w:sz w:val="28"/>
          <w:szCs w:val="28"/>
        </w:rPr>
        <w:lastRenderedPageBreak/>
        <w:t>задачи – формирование бюджета, выявление и предупреждение фактов уклонения налогоплательщиков от уплаты налогов и сборов в бюджет.</w:t>
      </w:r>
    </w:p>
    <w:p w:rsidR="006859BE" w:rsidRDefault="00D952E0" w:rsidP="009904F2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у нас выстроено по следующим направлениям:</w:t>
      </w:r>
    </w:p>
    <w:p w:rsidR="00D952E0" w:rsidRDefault="00D952E0" w:rsidP="009904F2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Во-первых, это взаимный обмен  необходимыми сведениями из </w:t>
      </w:r>
      <w:proofErr w:type="gramStart"/>
      <w:r>
        <w:rPr>
          <w:sz w:val="28"/>
          <w:szCs w:val="28"/>
        </w:rPr>
        <w:t>баз</w:t>
      </w:r>
      <w:proofErr w:type="gramEnd"/>
      <w:r>
        <w:rPr>
          <w:sz w:val="28"/>
          <w:szCs w:val="28"/>
        </w:rPr>
        <w:t xml:space="preserve"> данных и оперативной информацией. Так, за 6 месяцев 2018 года с использованием информации, получаемой от таможенных органов на плановой основе, проведено более 40% камеральных налоговых проверок.</w:t>
      </w:r>
    </w:p>
    <w:p w:rsidR="00D952E0" w:rsidRDefault="00D952E0" w:rsidP="009904F2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вопросам обоснованности возмещения НДС за 6 месяцев 2018 года было </w:t>
      </w:r>
      <w:r w:rsidRPr="008A19A5">
        <w:rPr>
          <w:sz w:val="28"/>
          <w:szCs w:val="28"/>
        </w:rPr>
        <w:t xml:space="preserve">проведено </w:t>
      </w:r>
      <w:r w:rsidR="008A19A5" w:rsidRPr="008A19A5">
        <w:rPr>
          <w:sz w:val="28"/>
          <w:szCs w:val="28"/>
        </w:rPr>
        <w:t>7</w:t>
      </w:r>
      <w:r w:rsidRPr="008A19A5">
        <w:rPr>
          <w:sz w:val="28"/>
          <w:szCs w:val="28"/>
        </w:rPr>
        <w:t xml:space="preserve">5 камеральных проверок участников внешнеэкономической деятельности, из которых по 3 камеральным проверкам возмещение НДС на сумму более </w:t>
      </w:r>
      <w:r w:rsidR="008A19A5" w:rsidRPr="008A19A5">
        <w:rPr>
          <w:sz w:val="28"/>
          <w:szCs w:val="28"/>
        </w:rPr>
        <w:t>2</w:t>
      </w:r>
      <w:r w:rsidRPr="008A19A5">
        <w:rPr>
          <w:sz w:val="28"/>
          <w:szCs w:val="28"/>
        </w:rPr>
        <w:t>0 млн. руб</w:t>
      </w:r>
      <w:r>
        <w:rPr>
          <w:sz w:val="28"/>
          <w:szCs w:val="28"/>
        </w:rPr>
        <w:t>. признано необоснованным.</w:t>
      </w:r>
    </w:p>
    <w:p w:rsidR="00D952E0" w:rsidRDefault="00D952E0" w:rsidP="009904F2">
      <w:pPr>
        <w:ind w:right="-5" w:firstLine="709"/>
        <w:jc w:val="both"/>
        <w:rPr>
          <w:sz w:val="28"/>
          <w:szCs w:val="28"/>
        </w:rPr>
      </w:pPr>
    </w:p>
    <w:p w:rsidR="00D952E0" w:rsidRDefault="00D952E0" w:rsidP="009904F2">
      <w:pPr>
        <w:pStyle w:val="a7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Следующее. Благодаря наличию в структуре Омской таможни сотрудников правоохранительного блока в 2016 году мы начали совместную работу по установлению и возбуждению уголовных дел по фактам незаконного образования юридических лиц.</w:t>
      </w:r>
    </w:p>
    <w:p w:rsidR="00D952E0" w:rsidRDefault="00D952E0" w:rsidP="009904F2">
      <w:pPr>
        <w:pStyle w:val="a7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в 2017 году при проведении скоординированных мероприятий по установлению фактических производителей (отправителей) экспортного товара выявлено 20 фактов </w:t>
      </w:r>
      <w:r w:rsidR="00766B4F">
        <w:rPr>
          <w:sz w:val="28"/>
          <w:szCs w:val="28"/>
        </w:rPr>
        <w:t>осуществления незаконных регистрационных действий контрагентами экспортера.</w:t>
      </w:r>
    </w:p>
    <w:p w:rsidR="00766B4F" w:rsidRDefault="00766B4F" w:rsidP="009904F2">
      <w:pPr>
        <w:pStyle w:val="a7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Получив предложение о предоставлении удостоверяющего личность документа для государственной регистрации юридического лица, граждане, руководствуясь корыстными целями, за небольшое вознаграждение согласились стать подставными лицами организации (руководителями или учредителями). </w:t>
      </w:r>
      <w:proofErr w:type="gramStart"/>
      <w:r>
        <w:rPr>
          <w:sz w:val="28"/>
          <w:szCs w:val="28"/>
        </w:rPr>
        <w:t xml:space="preserve">Тем самым физические лица навлекли на себя уголовную ответственность, предусмотренную частью 1 ст. 173.2 Уголовного кодекса РФ, </w:t>
      </w:r>
      <w:r w:rsidRPr="00766B4F">
        <w:rPr>
          <w:i/>
          <w:sz w:val="28"/>
          <w:szCs w:val="28"/>
        </w:rPr>
        <w:t>которой предусмотрено наказание в виде штрафа от 100 до 300 тысяч рублей или в размере заработной платы или иного дохода осужденного за период от 7 месяцев до 1 года, либо обязательными работами на срок от 180 до 240 часов, либо исправительными работами на</w:t>
      </w:r>
      <w:proofErr w:type="gramEnd"/>
      <w:r w:rsidRPr="00766B4F">
        <w:rPr>
          <w:i/>
          <w:sz w:val="28"/>
          <w:szCs w:val="28"/>
        </w:rPr>
        <w:t xml:space="preserve"> срок до 2-х лет.</w:t>
      </w:r>
    </w:p>
    <w:p w:rsidR="00D952E0" w:rsidRDefault="00766B4F" w:rsidP="009904F2">
      <w:pPr>
        <w:pStyle w:val="a7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Омской таможней за указанный период возбуждено 16 уголовных дел, в том числе 4 уголовных дела по ранее направленным материалам. Судами вынесено 10 обвинительных приговоров (по 14 материалам).</w:t>
      </w:r>
    </w:p>
    <w:p w:rsidR="00766B4F" w:rsidRDefault="00766B4F" w:rsidP="009904F2">
      <w:pPr>
        <w:pStyle w:val="a7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6 месяцев 2018 года выявлено 10 фактов незаконной регистрации  юридических лиц – участников ВЭД, возбуж</w:t>
      </w:r>
      <w:r w:rsidR="00F55426">
        <w:rPr>
          <w:sz w:val="28"/>
          <w:szCs w:val="28"/>
        </w:rPr>
        <w:t>д</w:t>
      </w:r>
      <w:r>
        <w:rPr>
          <w:sz w:val="28"/>
          <w:szCs w:val="28"/>
        </w:rPr>
        <w:t>ено 1 уголовное дело.</w:t>
      </w:r>
    </w:p>
    <w:p w:rsidR="00F55426" w:rsidRDefault="00F55426" w:rsidP="009904F2">
      <w:pPr>
        <w:pStyle w:val="a7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F55426" w:rsidRDefault="00F55426" w:rsidP="009904F2">
      <w:pPr>
        <w:pStyle w:val="a7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Следующим направлением нашей работы являются скоординированные проверки. </w:t>
      </w:r>
      <w:r w:rsidR="00C3529A">
        <w:rPr>
          <w:sz w:val="28"/>
          <w:szCs w:val="28"/>
        </w:rPr>
        <w:t xml:space="preserve"> Когда на основе тщательного анализа имеющейся информации, сведений о возможных нарушениях налогового и таможенного законодательства, мы выбираем себе объект проверки и совместными усилиями двух ведом</w:t>
      </w:r>
      <w:proofErr w:type="gramStart"/>
      <w:r w:rsidR="00C3529A">
        <w:rPr>
          <w:sz w:val="28"/>
          <w:szCs w:val="28"/>
        </w:rPr>
        <w:t>ств пр</w:t>
      </w:r>
      <w:proofErr w:type="gramEnd"/>
      <w:r w:rsidR="00C3529A">
        <w:rPr>
          <w:sz w:val="28"/>
          <w:szCs w:val="28"/>
        </w:rPr>
        <w:t>оводим контрольные мероприятия.</w:t>
      </w:r>
    </w:p>
    <w:p w:rsidR="00C3529A" w:rsidRDefault="00C3529A" w:rsidP="009904F2">
      <w:pPr>
        <w:pStyle w:val="a7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2017 году мы провели 3 совместные проверки (</w:t>
      </w:r>
      <w:r w:rsidRPr="00C3529A">
        <w:rPr>
          <w:i/>
          <w:sz w:val="28"/>
          <w:szCs w:val="28"/>
        </w:rPr>
        <w:t>ООО «Компания «</w:t>
      </w:r>
      <w:proofErr w:type="spellStart"/>
      <w:r w:rsidRPr="00C3529A">
        <w:rPr>
          <w:i/>
          <w:sz w:val="28"/>
          <w:szCs w:val="28"/>
        </w:rPr>
        <w:t>Ремлюкс</w:t>
      </w:r>
      <w:proofErr w:type="spellEnd"/>
      <w:r w:rsidRPr="00C3529A">
        <w:rPr>
          <w:i/>
          <w:sz w:val="28"/>
          <w:szCs w:val="28"/>
        </w:rPr>
        <w:t>», ООО «</w:t>
      </w:r>
      <w:proofErr w:type="spellStart"/>
      <w:r w:rsidRPr="00C3529A">
        <w:rPr>
          <w:i/>
          <w:sz w:val="28"/>
          <w:szCs w:val="28"/>
        </w:rPr>
        <w:t>Абарис</w:t>
      </w:r>
      <w:proofErr w:type="spellEnd"/>
      <w:r w:rsidRPr="00C3529A">
        <w:rPr>
          <w:i/>
          <w:sz w:val="28"/>
          <w:szCs w:val="28"/>
        </w:rPr>
        <w:t>-ИК», ООО «</w:t>
      </w:r>
      <w:proofErr w:type="spellStart"/>
      <w:r w:rsidRPr="00C3529A">
        <w:rPr>
          <w:i/>
          <w:sz w:val="28"/>
          <w:szCs w:val="28"/>
        </w:rPr>
        <w:t>Вельталь</w:t>
      </w:r>
      <w:proofErr w:type="spellEnd"/>
      <w:r w:rsidRPr="00C3529A">
        <w:rPr>
          <w:i/>
          <w:sz w:val="28"/>
          <w:szCs w:val="28"/>
        </w:rPr>
        <w:t>-авиа»</w:t>
      </w:r>
      <w:r>
        <w:rPr>
          <w:sz w:val="28"/>
          <w:szCs w:val="28"/>
        </w:rPr>
        <w:t xml:space="preserve">), по результатам </w:t>
      </w:r>
      <w:r>
        <w:rPr>
          <w:sz w:val="28"/>
          <w:szCs w:val="28"/>
        </w:rPr>
        <w:lastRenderedPageBreak/>
        <w:t>которых поступило в бюджет 3 млн. руб. В 2018 году мы вынесли решение по 1 камеральной проверке (</w:t>
      </w:r>
      <w:r w:rsidRPr="00C3529A">
        <w:rPr>
          <w:i/>
          <w:sz w:val="28"/>
          <w:szCs w:val="28"/>
        </w:rPr>
        <w:t>ООО «</w:t>
      </w:r>
      <w:proofErr w:type="spellStart"/>
      <w:r w:rsidRPr="00C3529A">
        <w:rPr>
          <w:i/>
          <w:sz w:val="28"/>
          <w:szCs w:val="28"/>
        </w:rPr>
        <w:t>Любимово</w:t>
      </w:r>
      <w:proofErr w:type="spellEnd"/>
      <w:r w:rsidRPr="00C3529A">
        <w:rPr>
          <w:i/>
          <w:sz w:val="28"/>
          <w:szCs w:val="28"/>
        </w:rPr>
        <w:t>»</w:t>
      </w:r>
      <w:r>
        <w:rPr>
          <w:sz w:val="28"/>
          <w:szCs w:val="28"/>
        </w:rPr>
        <w:t>), по результатам которой отказано в возмещении НДС на сумму 9 млн. руб. Установлено необоснованное возмещение налогоплательщиком НДС при ввозе на территорию РФ оборудования.</w:t>
      </w:r>
      <w:proofErr w:type="gramEnd"/>
    </w:p>
    <w:p w:rsidR="00C3529A" w:rsidRDefault="00C3529A" w:rsidP="009904F2">
      <w:pPr>
        <w:pStyle w:val="a7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Благодаря возможностям правоохранительного блока Омской таможни в ходе проверки были направлены запросы в таможенные управления иностранных государств об оказании содействия о проведении допросов свидетелей (руководителей иностранных контрагентов), сотрудники таможни выезжали к месту хранения оборудования в момент его ввоза на территорию Омской области.</w:t>
      </w:r>
    </w:p>
    <w:p w:rsidR="00C3529A" w:rsidRPr="005D65B6" w:rsidRDefault="00C3529A" w:rsidP="009904F2">
      <w:pPr>
        <w:pStyle w:val="a7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результате мы получили доказательства необоснованного возмещения налога проверяемым налогоплательщиком, установлены фактические покупатели оборудования, не являющиеся плательщиками НДС, соответственно не имеющие права на налоговые вычеты и возмещение НДС из федерального бюджета. </w:t>
      </w:r>
      <w:proofErr w:type="gramStart"/>
      <w:r>
        <w:rPr>
          <w:sz w:val="28"/>
          <w:szCs w:val="28"/>
        </w:rPr>
        <w:t xml:space="preserve">Установлено, что основной целью совершения сделки в результате искажения сведений о фактах хозяйственной жизни являлось возмещение НДС из федерального бюджета, за что установлена также уголовная ответственность по ст. 159 Уголовного </w:t>
      </w:r>
      <w:r w:rsidR="005D65B6">
        <w:rPr>
          <w:sz w:val="28"/>
          <w:szCs w:val="28"/>
        </w:rPr>
        <w:t xml:space="preserve">кодекса РФ («Мошенничество») </w:t>
      </w:r>
      <w:r w:rsidR="005D65B6" w:rsidRPr="005D65B6">
        <w:rPr>
          <w:i/>
          <w:sz w:val="28"/>
          <w:szCs w:val="28"/>
        </w:rPr>
        <w:t>в виде штрафа в размере до 120 тысяч рублей или в размере заработной платы или иного дохода осужденного за период до 1 года, либо обязательных работ на</w:t>
      </w:r>
      <w:proofErr w:type="gramEnd"/>
      <w:r w:rsidR="005D65B6" w:rsidRPr="005D65B6">
        <w:rPr>
          <w:i/>
          <w:sz w:val="28"/>
          <w:szCs w:val="28"/>
        </w:rPr>
        <w:t xml:space="preserve"> срок до 360 часов, либо исправительных работ на срок до одного года, либо ограничением свободы на срок до 2х лет, либо принудительными работами на срок до 2 лет, либо арестом на срок до 4-х месяцев, либо лишением свободы на срок до 2х лет.</w:t>
      </w:r>
    </w:p>
    <w:p w:rsidR="0017288F" w:rsidRPr="00531869" w:rsidRDefault="0017288F" w:rsidP="009904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F57D8B" w:rsidRDefault="00F57D8B" w:rsidP="006725F6">
      <w:pPr>
        <w:pStyle w:val="a3"/>
        <w:shd w:val="clear" w:color="auto" w:fill="FFFFFF"/>
        <w:spacing w:before="218" w:beforeAutospacing="0" w:after="218" w:afterAutospacing="0" w:line="360" w:lineRule="auto"/>
        <w:rPr>
          <w:rStyle w:val="a4"/>
          <w:rFonts w:ascii="Arial" w:hAnsi="Arial" w:cs="Arial"/>
          <w:color w:val="000000"/>
          <w:sz w:val="23"/>
          <w:szCs w:val="23"/>
        </w:rPr>
      </w:pPr>
      <w:bookmarkStart w:id="3" w:name="_GoBack"/>
      <w:bookmarkEnd w:id="3"/>
    </w:p>
    <w:sectPr w:rsidR="00F57D8B" w:rsidSect="00493D0B">
      <w:headerReference w:type="default" r:id="rId10"/>
      <w:foot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D0B" w:rsidRDefault="00493D0B" w:rsidP="00493D0B">
      <w:r>
        <w:separator/>
      </w:r>
    </w:p>
  </w:endnote>
  <w:endnote w:type="continuationSeparator" w:id="0">
    <w:p w:rsidR="00493D0B" w:rsidRDefault="00493D0B" w:rsidP="0049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D0B" w:rsidRDefault="00493D0B">
    <w:pPr>
      <w:pStyle w:val="aa"/>
      <w:jc w:val="center"/>
    </w:pPr>
  </w:p>
  <w:p w:rsidR="00493D0B" w:rsidRDefault="00493D0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D0B" w:rsidRDefault="00493D0B" w:rsidP="00493D0B">
      <w:r>
        <w:separator/>
      </w:r>
    </w:p>
  </w:footnote>
  <w:footnote w:type="continuationSeparator" w:id="0">
    <w:p w:rsidR="00493D0B" w:rsidRDefault="00493D0B" w:rsidP="00493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03842"/>
      <w:docPartObj>
        <w:docPartGallery w:val="Page Numbers (Top of Page)"/>
        <w:docPartUnique/>
      </w:docPartObj>
    </w:sdtPr>
    <w:sdtEndPr/>
    <w:sdtContent>
      <w:p w:rsidR="00493D0B" w:rsidRDefault="00005E0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04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93D0B" w:rsidRDefault="00493D0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D0B" w:rsidRDefault="00493D0B">
    <w:pPr>
      <w:pStyle w:val="a8"/>
      <w:jc w:val="center"/>
    </w:pPr>
  </w:p>
  <w:p w:rsidR="00493D0B" w:rsidRDefault="00493D0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6E7"/>
    <w:rsid w:val="00005E0A"/>
    <w:rsid w:val="00066A68"/>
    <w:rsid w:val="001340F1"/>
    <w:rsid w:val="0017288F"/>
    <w:rsid w:val="002320FA"/>
    <w:rsid w:val="0023310F"/>
    <w:rsid w:val="002B1500"/>
    <w:rsid w:val="003577F6"/>
    <w:rsid w:val="00417E25"/>
    <w:rsid w:val="00493D0B"/>
    <w:rsid w:val="00496434"/>
    <w:rsid w:val="005C71B9"/>
    <w:rsid w:val="005D65B6"/>
    <w:rsid w:val="005F30E1"/>
    <w:rsid w:val="006371A1"/>
    <w:rsid w:val="006725F6"/>
    <w:rsid w:val="006859BE"/>
    <w:rsid w:val="006C75EA"/>
    <w:rsid w:val="00742522"/>
    <w:rsid w:val="00745AD0"/>
    <w:rsid w:val="00766B4F"/>
    <w:rsid w:val="008A19A5"/>
    <w:rsid w:val="008A7FE7"/>
    <w:rsid w:val="00914611"/>
    <w:rsid w:val="00944178"/>
    <w:rsid w:val="009821F0"/>
    <w:rsid w:val="009904F2"/>
    <w:rsid w:val="009E09CE"/>
    <w:rsid w:val="00A80C33"/>
    <w:rsid w:val="00A829F8"/>
    <w:rsid w:val="00A9422F"/>
    <w:rsid w:val="00AA7325"/>
    <w:rsid w:val="00AB56E7"/>
    <w:rsid w:val="00AD0651"/>
    <w:rsid w:val="00AF31B7"/>
    <w:rsid w:val="00B73A41"/>
    <w:rsid w:val="00BC47C9"/>
    <w:rsid w:val="00C3529A"/>
    <w:rsid w:val="00CE468C"/>
    <w:rsid w:val="00D952E0"/>
    <w:rsid w:val="00DC2BB6"/>
    <w:rsid w:val="00E375B1"/>
    <w:rsid w:val="00E524DB"/>
    <w:rsid w:val="00E639F2"/>
    <w:rsid w:val="00EA2831"/>
    <w:rsid w:val="00F55426"/>
    <w:rsid w:val="00F5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B56E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3310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3310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425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5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066A68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17288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93D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3D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93D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3D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2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99A85-E580-4B1A-9EDC-4B2D78908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6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5500_svc_user</cp:lastModifiedBy>
  <cp:revision>29</cp:revision>
  <cp:lastPrinted>2018-08-14T09:25:00Z</cp:lastPrinted>
  <dcterms:created xsi:type="dcterms:W3CDTF">2017-11-19T12:53:00Z</dcterms:created>
  <dcterms:modified xsi:type="dcterms:W3CDTF">2018-09-10T11:05:00Z</dcterms:modified>
</cp:coreProperties>
</file>